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051ED54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750DC0"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930AB5">
        <w:rPr>
          <w:rFonts w:ascii="Arial" w:hAnsi="Arial" w:cs="Arial"/>
          <w:b/>
          <w:sz w:val="20"/>
          <w:szCs w:val="20"/>
        </w:rPr>
        <w:t xml:space="preserve">II a </w:t>
      </w:r>
      <w:r w:rsidR="00750DC0" w:rsidRPr="00750DC0">
        <w:rPr>
          <w:rFonts w:ascii="Arial" w:hAnsi="Arial" w:cs="Arial"/>
          <w:b/>
          <w:sz w:val="20"/>
          <w:szCs w:val="20"/>
        </w:rPr>
        <w:t>II</w:t>
      </w:r>
      <w:r w:rsidR="004B5A68"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930AB5" w:rsidRPr="00930AB5">
        <w:rPr>
          <w:rFonts w:ascii="Arial" w:hAnsi="Arial" w:cs="Arial"/>
          <w:b/>
          <w:sz w:val="20"/>
          <w:szCs w:val="20"/>
        </w:rPr>
        <w:t>Část 2 – Robotické rameno pro endoskopii</w:t>
      </w:r>
    </w:p>
    <w:p w14:paraId="54147F57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8D8E251" w14:textId="1E0CFA03"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930AB5">
        <w:rPr>
          <w:rFonts w:ascii="Arial" w:hAnsi="Arial" w:cs="Arial"/>
          <w:b/>
          <w:sz w:val="22"/>
        </w:rPr>
        <w:t xml:space="preserve">II a </w:t>
      </w:r>
      <w:r w:rsidRPr="00750DC0">
        <w:rPr>
          <w:rFonts w:ascii="Arial" w:hAnsi="Arial" w:cs="Arial"/>
          <w:b/>
          <w:sz w:val="22"/>
        </w:rPr>
        <w:t>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14:paraId="6F559FF5" w14:textId="77777777" w:rsidR="00930AB5" w:rsidRDefault="00930AB5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30AB5">
        <w:rPr>
          <w:rFonts w:ascii="Arial" w:hAnsi="Arial" w:cs="Arial"/>
          <w:b/>
          <w:sz w:val="22"/>
        </w:rPr>
        <w:t>Část 2 – Robotické rameno pro endoskopii</w:t>
      </w:r>
    </w:p>
    <w:p w14:paraId="336F2487" w14:textId="5D75128D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930AB5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930AB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930AB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930A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930A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930A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930AB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930AB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930AB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930AB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30AB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308ED-947F-478F-AA17-349188E3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42</cp:revision>
  <dcterms:created xsi:type="dcterms:W3CDTF">2022-05-09T20:22:00Z</dcterms:created>
  <dcterms:modified xsi:type="dcterms:W3CDTF">2022-11-30T08:59:00Z</dcterms:modified>
</cp:coreProperties>
</file>